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06" w:rsidRPr="009378DF" w:rsidRDefault="00555806" w:rsidP="00555806">
      <w:pPr>
        <w:rPr>
          <w:rFonts w:ascii="彩虹粗仿宋" w:eastAsia="彩虹粗仿宋"/>
          <w:b/>
          <w:color w:val="000000"/>
          <w:sz w:val="32"/>
          <w:szCs w:val="32"/>
        </w:rPr>
      </w:pPr>
      <w:r w:rsidRPr="00EE774A">
        <w:rPr>
          <w:rFonts w:ascii="彩虹粗仿宋" w:eastAsia="彩虹粗仿宋" w:hint="eastAsia"/>
          <w:b/>
          <w:color w:val="000000"/>
          <w:sz w:val="32"/>
          <w:szCs w:val="32"/>
        </w:rPr>
        <w:t>附件</w:t>
      </w:r>
      <w:r>
        <w:rPr>
          <w:rFonts w:ascii="彩虹粗仿宋" w:eastAsia="彩虹粗仿宋" w:hint="eastAsia"/>
          <w:b/>
          <w:color w:val="000000"/>
          <w:sz w:val="32"/>
          <w:szCs w:val="32"/>
        </w:rPr>
        <w:t>8</w:t>
      </w:r>
    </w:p>
    <w:p w:rsidR="00555806" w:rsidRDefault="00555806" w:rsidP="00555806">
      <w:pPr>
        <w:jc w:val="center"/>
        <w:rPr>
          <w:b/>
          <w:color w:val="000000"/>
          <w:sz w:val="32"/>
          <w:szCs w:val="32"/>
        </w:rPr>
      </w:pPr>
      <w:r w:rsidRPr="009378DF">
        <w:rPr>
          <w:rFonts w:hint="eastAsia"/>
          <w:b/>
          <w:color w:val="000000"/>
          <w:sz w:val="32"/>
          <w:szCs w:val="32"/>
        </w:rPr>
        <w:t>“乾元—满溢”</w:t>
      </w:r>
      <w:r w:rsidRPr="009378DF">
        <w:rPr>
          <w:rFonts w:hint="eastAsia"/>
          <w:b/>
          <w:color w:val="000000"/>
          <w:sz w:val="32"/>
          <w:szCs w:val="32"/>
        </w:rPr>
        <w:t>3</w:t>
      </w:r>
      <w:r>
        <w:rPr>
          <w:rFonts w:hint="eastAsia"/>
          <w:b/>
          <w:color w:val="000000"/>
          <w:sz w:val="32"/>
          <w:szCs w:val="32"/>
        </w:rPr>
        <w:t>6</w:t>
      </w:r>
      <w:r w:rsidRPr="009378DF">
        <w:rPr>
          <w:rFonts w:hint="eastAsia"/>
          <w:b/>
          <w:color w:val="000000"/>
          <w:sz w:val="32"/>
          <w:szCs w:val="32"/>
        </w:rPr>
        <w:t>0</w:t>
      </w:r>
      <w:r w:rsidRPr="009378DF">
        <w:rPr>
          <w:rFonts w:hint="eastAsia"/>
          <w:b/>
          <w:color w:val="000000"/>
          <w:sz w:val="32"/>
          <w:szCs w:val="32"/>
        </w:rPr>
        <w:t>天开放式资产组合型人民币理财产品</w:t>
      </w:r>
    </w:p>
    <w:p w:rsidR="00555806" w:rsidRPr="00EE774A" w:rsidRDefault="00555806" w:rsidP="00555806">
      <w:pPr>
        <w:jc w:val="center"/>
        <w:rPr>
          <w:b/>
          <w:color w:val="000000"/>
          <w:sz w:val="32"/>
          <w:szCs w:val="32"/>
        </w:rPr>
      </w:pPr>
      <w:r w:rsidRPr="009378DF">
        <w:rPr>
          <w:rFonts w:hint="eastAsia"/>
          <w:b/>
          <w:color w:val="000000"/>
          <w:sz w:val="32"/>
          <w:szCs w:val="32"/>
        </w:rPr>
        <w:t>（机构版）</w:t>
      </w:r>
      <w:r w:rsidRPr="00EE774A">
        <w:rPr>
          <w:rFonts w:hint="eastAsia"/>
          <w:b/>
          <w:color w:val="000000"/>
          <w:sz w:val="32"/>
          <w:szCs w:val="32"/>
        </w:rPr>
        <w:t>月度投资管理报告</w:t>
      </w:r>
    </w:p>
    <w:p w:rsidR="00555806" w:rsidRPr="00EE774A" w:rsidRDefault="00555806" w:rsidP="00555806">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035553">
        <w:rPr>
          <w:rFonts w:ascii="宋体" w:hAnsi="宋体" w:hint="eastAsia"/>
          <w:color w:val="000000"/>
          <w:szCs w:val="21"/>
        </w:rPr>
        <w:t>8</w:t>
      </w:r>
      <w:r w:rsidRPr="00EE774A">
        <w:rPr>
          <w:rFonts w:ascii="宋体" w:hAnsi="宋体" w:hint="eastAsia"/>
          <w:color w:val="000000"/>
          <w:szCs w:val="21"/>
        </w:rPr>
        <w:t>年</w:t>
      </w:r>
      <w:r w:rsidR="00A03A58">
        <w:rPr>
          <w:rFonts w:ascii="宋体" w:hAnsi="宋体" w:hint="eastAsia"/>
          <w:color w:val="000000"/>
          <w:szCs w:val="21"/>
        </w:rPr>
        <w:t>4</w:t>
      </w:r>
      <w:r>
        <w:rPr>
          <w:rFonts w:ascii="宋体" w:hAnsi="宋体" w:hint="eastAsia"/>
          <w:color w:val="000000"/>
          <w:szCs w:val="21"/>
        </w:rPr>
        <w:t>月</w:t>
      </w:r>
      <w:r w:rsidR="00A03A58">
        <w:rPr>
          <w:rFonts w:ascii="宋体" w:hAnsi="宋体" w:hint="eastAsia"/>
          <w:color w:val="000000"/>
          <w:szCs w:val="21"/>
        </w:rPr>
        <w:t>30</w:t>
      </w:r>
      <w:r>
        <w:rPr>
          <w:rFonts w:ascii="宋体" w:hAnsi="宋体" w:hint="eastAsia"/>
          <w:color w:val="000000"/>
          <w:szCs w:val="21"/>
        </w:rPr>
        <w:t xml:space="preserve">日    </w:t>
      </w:r>
    </w:p>
    <w:p w:rsidR="00555806" w:rsidRPr="000A55B8" w:rsidRDefault="00555806" w:rsidP="00A03A58">
      <w:pPr>
        <w:ind w:firstLine="420"/>
        <w:rPr>
          <w:rFonts w:ascii="宋体" w:hAnsi="宋体"/>
          <w:color w:val="000000"/>
          <w:sz w:val="28"/>
          <w:szCs w:val="28"/>
        </w:rPr>
      </w:pPr>
      <w:r w:rsidRPr="000A55B8">
        <w:rPr>
          <w:rFonts w:ascii="宋体" w:hAnsi="宋体" w:hint="eastAsia"/>
          <w:color w:val="000000"/>
          <w:sz w:val="28"/>
          <w:szCs w:val="28"/>
        </w:rPr>
        <w:t>“乾元—满溢”3</w:t>
      </w:r>
      <w:r>
        <w:rPr>
          <w:rFonts w:ascii="宋体" w:hAnsi="宋体" w:hint="eastAsia"/>
          <w:color w:val="000000"/>
          <w:sz w:val="28"/>
          <w:szCs w:val="28"/>
        </w:rPr>
        <w:t>6</w:t>
      </w:r>
      <w:r w:rsidRPr="000A55B8">
        <w:rPr>
          <w:rFonts w:ascii="宋体" w:hAnsi="宋体" w:hint="eastAsia"/>
          <w:color w:val="000000"/>
          <w:sz w:val="28"/>
          <w:szCs w:val="28"/>
        </w:rPr>
        <w:t>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7</w:t>
      </w:r>
      <w:r w:rsidRPr="00EE774A">
        <w:rPr>
          <w:rFonts w:ascii="宋体" w:hAnsi="宋体" w:hint="eastAsia"/>
          <w:color w:val="000000"/>
          <w:sz w:val="28"/>
          <w:szCs w:val="28"/>
        </w:rPr>
        <w:t>年</w:t>
      </w:r>
      <w:r>
        <w:rPr>
          <w:rFonts w:ascii="宋体" w:hAnsi="宋体" w:hint="eastAsia"/>
          <w:color w:val="000000"/>
          <w:sz w:val="28"/>
          <w:szCs w:val="28"/>
        </w:rPr>
        <w:t>9</w:t>
      </w:r>
      <w:r w:rsidRPr="00EE774A">
        <w:rPr>
          <w:rFonts w:ascii="宋体" w:hAnsi="宋体" w:hint="eastAsia"/>
          <w:color w:val="000000"/>
          <w:sz w:val="28"/>
          <w:szCs w:val="28"/>
        </w:rPr>
        <w:t>月</w:t>
      </w:r>
      <w:r>
        <w:rPr>
          <w:rFonts w:ascii="宋体" w:hAnsi="宋体" w:hint="eastAsia"/>
          <w:color w:val="000000"/>
          <w:sz w:val="28"/>
          <w:szCs w:val="28"/>
        </w:rPr>
        <w:t>15</w:t>
      </w:r>
      <w:r w:rsidRPr="00EE774A">
        <w:rPr>
          <w:rFonts w:ascii="宋体" w:hAnsi="宋体" w:hint="eastAsia"/>
          <w:color w:val="000000"/>
          <w:sz w:val="28"/>
          <w:szCs w:val="28"/>
        </w:rPr>
        <w:t>日正式成立。截至报告日，本产品规模为</w:t>
      </w:r>
      <w:r w:rsidRPr="00035553">
        <w:rPr>
          <w:rFonts w:ascii="宋体" w:hAnsi="宋体" w:hint="eastAsia"/>
          <w:color w:val="000000"/>
          <w:sz w:val="28"/>
          <w:szCs w:val="28"/>
        </w:rPr>
        <w:t xml:space="preserve">                                         </w:t>
      </w:r>
      <w:r w:rsidR="004530A2" w:rsidRPr="004530A2">
        <w:rPr>
          <w:rFonts w:ascii="宋体" w:hAnsi="宋体" w:hint="eastAsia"/>
          <w:color w:val="000000"/>
          <w:sz w:val="28"/>
          <w:szCs w:val="28"/>
        </w:rPr>
        <w:t xml:space="preserve">     </w:t>
      </w:r>
      <w:r w:rsidR="00A03A58" w:rsidRPr="00A03A58">
        <w:rPr>
          <w:rFonts w:ascii="宋体" w:hAnsi="宋体" w:hint="eastAsia"/>
          <w:color w:val="000000"/>
          <w:sz w:val="28"/>
          <w:szCs w:val="28"/>
        </w:rPr>
        <w:t>829,100,000.00</w:t>
      </w:r>
      <w:r w:rsidRPr="00585789">
        <w:rPr>
          <w:rFonts w:ascii="宋体" w:hAnsi="宋体" w:hint="eastAsia"/>
          <w:color w:val="000000"/>
          <w:sz w:val="28"/>
          <w:szCs w:val="28"/>
        </w:rPr>
        <w:t>元。</w:t>
      </w:r>
    </w:p>
    <w:p w:rsidR="00555806" w:rsidRPr="00812F4C" w:rsidRDefault="00555806" w:rsidP="00812F4C">
      <w:pPr>
        <w:ind w:firstLine="420"/>
        <w:rPr>
          <w:rFonts w:ascii="宋体" w:hAnsi="宋体"/>
          <w:b/>
          <w:color w:val="000000"/>
          <w:sz w:val="28"/>
          <w:szCs w:val="28"/>
        </w:rPr>
      </w:pPr>
      <w:r w:rsidRPr="00812F4C">
        <w:rPr>
          <w:rFonts w:ascii="宋体" w:hAnsi="宋体" w:hint="eastAsia"/>
          <w:b/>
          <w:color w:val="000000"/>
          <w:sz w:val="28"/>
          <w:szCs w:val="28"/>
        </w:rPr>
        <w:t>一、报告期投资者实际收益率</w:t>
      </w:r>
    </w:p>
    <w:p w:rsidR="005451D6" w:rsidRPr="005451D6" w:rsidRDefault="009B4592" w:rsidP="005451D6">
      <w:pPr>
        <w:widowControl/>
        <w:spacing w:before="100" w:beforeAutospacing="1" w:after="100" w:afterAutospacing="1"/>
        <w:ind w:firstLine="420"/>
        <w:jc w:val="left"/>
        <w:rPr>
          <w:rFonts w:ascii="宋体" w:hAnsi="宋体" w:hint="eastAsia"/>
          <w:color w:val="000000"/>
          <w:sz w:val="28"/>
          <w:szCs w:val="28"/>
        </w:rPr>
      </w:pPr>
      <w:r>
        <w:rPr>
          <w:rFonts w:ascii="宋体" w:hAnsi="宋体" w:hint="eastAsia"/>
          <w:color w:val="000000"/>
          <w:sz w:val="28"/>
          <w:szCs w:val="28"/>
        </w:rPr>
        <w:t>中国建设银行</w:t>
      </w:r>
      <w:r w:rsidR="005451D6" w:rsidRPr="005451D6">
        <w:rPr>
          <w:rFonts w:ascii="宋体" w:hAnsi="宋体" w:hint="eastAsia"/>
          <w:color w:val="000000"/>
          <w:sz w:val="28"/>
          <w:szCs w:val="28"/>
        </w:rPr>
        <w:t>于2018年4月10日（含）起，调整“乾元—满溢”360天开放式资产组合型人民币理财产品（机构版）客户预期年化收益率，具体如下表：</w:t>
      </w:r>
    </w:p>
    <w:tbl>
      <w:tblPr>
        <w:tblW w:w="3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2672"/>
        <w:gridCol w:w="2567"/>
      </w:tblGrid>
      <w:tr w:rsidR="005451D6" w:rsidRPr="005451D6" w:rsidTr="00DF18BA">
        <w:trPr>
          <w:trHeight w:val="20"/>
          <w:tblHeader/>
          <w:jc w:val="center"/>
        </w:trPr>
        <w:tc>
          <w:tcPr>
            <w:tcW w:w="1465" w:type="dxa"/>
            <w:vAlign w:val="center"/>
            <w:hideMark/>
          </w:tcPr>
          <w:p w:rsidR="005451D6" w:rsidRPr="005451D6" w:rsidRDefault="005451D6" w:rsidP="00872651">
            <w:pPr>
              <w:adjustRightInd w:val="0"/>
              <w:snapToGrid w:val="0"/>
              <w:jc w:val="center"/>
              <w:rPr>
                <w:rFonts w:ascii="彩虹粗仿宋" w:eastAsia="彩虹粗仿宋" w:hAnsi="宋体" w:cs="宋体"/>
                <w:color w:val="000000"/>
                <w:kern w:val="0"/>
                <w:sz w:val="24"/>
              </w:rPr>
            </w:pPr>
            <w:r w:rsidRPr="005451D6">
              <w:rPr>
                <w:rFonts w:ascii="彩虹粗仿宋" w:eastAsia="彩虹粗仿宋" w:hAnsi="宋体" w:cs="宋体" w:hint="eastAsia"/>
                <w:color w:val="000000"/>
                <w:kern w:val="0"/>
                <w:sz w:val="24"/>
              </w:rPr>
              <w:t>档期设置</w:t>
            </w:r>
          </w:p>
        </w:tc>
        <w:tc>
          <w:tcPr>
            <w:tcW w:w="2672" w:type="dxa"/>
            <w:vAlign w:val="center"/>
            <w:hideMark/>
          </w:tcPr>
          <w:p w:rsidR="005451D6" w:rsidRPr="005451D6" w:rsidRDefault="005451D6" w:rsidP="00872651">
            <w:pPr>
              <w:adjustRightInd w:val="0"/>
              <w:snapToGrid w:val="0"/>
              <w:jc w:val="center"/>
              <w:rPr>
                <w:rFonts w:ascii="彩虹粗仿宋" w:eastAsia="彩虹粗仿宋" w:hAnsi="宋体" w:cs="宋体"/>
                <w:color w:val="000000"/>
                <w:kern w:val="0"/>
                <w:sz w:val="24"/>
              </w:rPr>
            </w:pPr>
            <w:r w:rsidRPr="005451D6">
              <w:rPr>
                <w:rFonts w:ascii="彩虹粗仿宋" w:eastAsia="彩虹粗仿宋" w:hAnsi="宋体" w:cs="宋体" w:hint="eastAsia"/>
                <w:color w:val="000000"/>
                <w:kern w:val="0"/>
                <w:sz w:val="24"/>
              </w:rPr>
              <w:t>客户预期年化收益率</w:t>
            </w:r>
          </w:p>
          <w:p w:rsidR="005451D6" w:rsidRPr="005451D6" w:rsidRDefault="005451D6" w:rsidP="00872651">
            <w:pPr>
              <w:adjustRightInd w:val="0"/>
              <w:snapToGrid w:val="0"/>
              <w:jc w:val="center"/>
              <w:rPr>
                <w:rFonts w:ascii="彩虹粗仿宋" w:eastAsia="彩虹粗仿宋" w:hAnsi="宋体" w:cs="宋体"/>
                <w:color w:val="000000"/>
                <w:kern w:val="0"/>
                <w:sz w:val="24"/>
              </w:rPr>
            </w:pPr>
            <w:r w:rsidRPr="005451D6">
              <w:rPr>
                <w:rFonts w:ascii="彩虹粗仿宋" w:eastAsia="彩虹粗仿宋" w:hAnsi="宋体" w:cs="宋体" w:hint="eastAsia"/>
                <w:color w:val="000000"/>
                <w:kern w:val="0"/>
                <w:sz w:val="24"/>
              </w:rPr>
              <w:t>（调整前）</w:t>
            </w:r>
          </w:p>
        </w:tc>
        <w:tc>
          <w:tcPr>
            <w:tcW w:w="2567" w:type="dxa"/>
            <w:hideMark/>
          </w:tcPr>
          <w:p w:rsidR="005451D6" w:rsidRPr="005451D6" w:rsidRDefault="005451D6" w:rsidP="00872651">
            <w:pPr>
              <w:adjustRightInd w:val="0"/>
              <w:snapToGrid w:val="0"/>
              <w:jc w:val="center"/>
              <w:rPr>
                <w:rFonts w:ascii="彩虹粗仿宋" w:eastAsia="彩虹粗仿宋" w:hAnsi="宋体" w:cs="宋体"/>
                <w:color w:val="000000"/>
                <w:kern w:val="0"/>
                <w:sz w:val="24"/>
              </w:rPr>
            </w:pPr>
            <w:r w:rsidRPr="005451D6">
              <w:rPr>
                <w:rFonts w:ascii="彩虹粗仿宋" w:eastAsia="彩虹粗仿宋" w:hAnsi="宋体" w:cs="宋体" w:hint="eastAsia"/>
                <w:color w:val="000000"/>
                <w:kern w:val="0"/>
                <w:sz w:val="24"/>
              </w:rPr>
              <w:t>客户预期年化收益率</w:t>
            </w:r>
          </w:p>
          <w:p w:rsidR="005451D6" w:rsidRPr="005451D6" w:rsidRDefault="005451D6" w:rsidP="00872651">
            <w:pPr>
              <w:adjustRightInd w:val="0"/>
              <w:snapToGrid w:val="0"/>
              <w:jc w:val="center"/>
              <w:rPr>
                <w:rFonts w:ascii="彩虹粗仿宋" w:eastAsia="彩虹粗仿宋" w:hAnsi="宋体" w:cs="宋体"/>
                <w:color w:val="000000"/>
                <w:kern w:val="0"/>
                <w:sz w:val="24"/>
              </w:rPr>
            </w:pPr>
            <w:r w:rsidRPr="005451D6">
              <w:rPr>
                <w:rFonts w:ascii="彩虹粗仿宋" w:eastAsia="彩虹粗仿宋" w:hAnsi="宋体" w:cs="宋体" w:hint="eastAsia"/>
                <w:color w:val="000000"/>
                <w:kern w:val="0"/>
                <w:sz w:val="24"/>
              </w:rPr>
              <w:t>（调整后）</w:t>
            </w:r>
          </w:p>
        </w:tc>
      </w:tr>
      <w:tr w:rsidR="005451D6" w:rsidRPr="000F5B1E" w:rsidTr="00DF18BA">
        <w:trPr>
          <w:trHeight w:val="20"/>
          <w:jc w:val="center"/>
        </w:trPr>
        <w:tc>
          <w:tcPr>
            <w:tcW w:w="1465" w:type="dxa"/>
            <w:vAlign w:val="center"/>
            <w:hideMark/>
          </w:tcPr>
          <w:p w:rsidR="005451D6" w:rsidRPr="000F5B1E" w:rsidRDefault="005451D6" w:rsidP="00872651">
            <w:pPr>
              <w:adjustRightInd w:val="0"/>
              <w:snapToGrid w:val="0"/>
              <w:jc w:val="center"/>
              <w:rPr>
                <w:rFonts w:ascii="彩虹粗仿宋" w:eastAsia="彩虹粗仿宋" w:cs="Calibri"/>
                <w:color w:val="000000"/>
                <w:kern w:val="0"/>
                <w:sz w:val="24"/>
              </w:rPr>
            </w:pPr>
            <w:r>
              <w:rPr>
                <w:rFonts w:ascii="彩虹粗仿宋" w:eastAsia="彩虹粗仿宋" w:cs="Calibri" w:hint="eastAsia"/>
                <w:color w:val="000000"/>
                <w:kern w:val="0"/>
                <w:sz w:val="24"/>
              </w:rPr>
              <w:t>36</w:t>
            </w:r>
            <w:r w:rsidRPr="000F5B1E">
              <w:rPr>
                <w:rFonts w:ascii="彩虹粗仿宋" w:eastAsia="彩虹粗仿宋" w:cs="Calibri" w:hint="eastAsia"/>
                <w:color w:val="000000"/>
                <w:kern w:val="0"/>
                <w:sz w:val="24"/>
              </w:rPr>
              <w:t>0天</w:t>
            </w:r>
          </w:p>
        </w:tc>
        <w:tc>
          <w:tcPr>
            <w:tcW w:w="2672" w:type="dxa"/>
            <w:hideMark/>
          </w:tcPr>
          <w:p w:rsidR="005451D6" w:rsidRPr="000F5B1E" w:rsidRDefault="005451D6" w:rsidP="00872651">
            <w:pPr>
              <w:adjustRightInd w:val="0"/>
              <w:snapToGrid w:val="0"/>
              <w:jc w:val="center"/>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5.05</w:t>
            </w:r>
            <w:r w:rsidRPr="000F5B1E">
              <w:rPr>
                <w:rFonts w:ascii="彩虹粗仿宋" w:eastAsia="彩虹粗仿宋" w:hAnsi="宋体" w:cs="宋体" w:hint="eastAsia"/>
                <w:color w:val="000000"/>
                <w:kern w:val="0"/>
                <w:sz w:val="24"/>
              </w:rPr>
              <w:t>%</w:t>
            </w:r>
          </w:p>
        </w:tc>
        <w:tc>
          <w:tcPr>
            <w:tcW w:w="2567" w:type="dxa"/>
            <w:hideMark/>
          </w:tcPr>
          <w:p w:rsidR="005451D6" w:rsidRPr="000F5B1E" w:rsidRDefault="005451D6" w:rsidP="00872651">
            <w:pPr>
              <w:adjustRightInd w:val="0"/>
              <w:snapToGrid w:val="0"/>
              <w:jc w:val="center"/>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5</w:t>
            </w:r>
            <w:r w:rsidRPr="000F5B1E">
              <w:rPr>
                <w:rFonts w:ascii="彩虹粗仿宋" w:eastAsia="彩虹粗仿宋" w:hAnsi="宋体" w:cs="宋体" w:hint="eastAsia"/>
                <w:color w:val="000000"/>
                <w:kern w:val="0"/>
                <w:sz w:val="24"/>
              </w:rPr>
              <w:t>.</w:t>
            </w:r>
            <w:r>
              <w:rPr>
                <w:rFonts w:ascii="彩虹粗仿宋" w:eastAsia="彩虹粗仿宋" w:hAnsi="宋体" w:cs="宋体" w:hint="eastAsia"/>
                <w:color w:val="000000"/>
                <w:kern w:val="0"/>
                <w:sz w:val="24"/>
              </w:rPr>
              <w:t>00</w:t>
            </w:r>
            <w:r w:rsidRPr="000F5B1E">
              <w:rPr>
                <w:rFonts w:ascii="彩虹粗仿宋" w:eastAsia="彩虹粗仿宋" w:hAnsi="宋体" w:cs="宋体" w:hint="eastAsia"/>
                <w:color w:val="000000"/>
                <w:kern w:val="0"/>
                <w:sz w:val="24"/>
              </w:rPr>
              <w:t>%</w:t>
            </w:r>
          </w:p>
        </w:tc>
      </w:tr>
    </w:tbl>
    <w:p w:rsidR="005451D6" w:rsidRPr="005451D6" w:rsidRDefault="005451D6" w:rsidP="005451D6">
      <w:pPr>
        <w:widowControl/>
        <w:spacing w:before="100" w:beforeAutospacing="1" w:after="100" w:afterAutospacing="1"/>
        <w:ind w:firstLine="420"/>
        <w:jc w:val="left"/>
        <w:rPr>
          <w:rFonts w:ascii="宋体" w:hAnsi="宋体" w:hint="eastAsia"/>
          <w:color w:val="000000"/>
          <w:sz w:val="28"/>
          <w:szCs w:val="28"/>
        </w:rPr>
      </w:pPr>
      <w:r w:rsidRPr="005451D6">
        <w:rPr>
          <w:rFonts w:ascii="宋体" w:hAnsi="宋体" w:hint="eastAsia"/>
          <w:color w:val="000000"/>
          <w:sz w:val="28"/>
          <w:szCs w:val="28"/>
        </w:rPr>
        <w:t>新客户预期年化收益率于2018年4月10日（含）起执行。对于2018年4月10日（不含）前已经购买成功且未赎回的存量投资本金，其中封闭期内的份额仍按照购买确认日当日的客户预期年化收益率计算投资收益，非封闭期内的份额从2018年4月10日（含）起按调整后的预期年化收益率计算投资收益。2018年4月10日（含）后购买的部分自动执行调整后的客户预期年化收益率。但前述情形下的最终投资收益均以我行最终支付的实际年化收益率为准。</w:t>
      </w:r>
    </w:p>
    <w:p w:rsidR="005451D6" w:rsidRDefault="005451D6" w:rsidP="005451D6">
      <w:pPr>
        <w:widowControl/>
        <w:spacing w:before="100" w:beforeAutospacing="1" w:after="100" w:afterAutospacing="1"/>
        <w:ind w:firstLine="420"/>
        <w:jc w:val="left"/>
        <w:rPr>
          <w:rFonts w:ascii="宋体" w:hAnsi="宋体" w:hint="eastAsia"/>
          <w:color w:val="000000"/>
          <w:sz w:val="28"/>
          <w:szCs w:val="28"/>
        </w:rPr>
      </w:pPr>
      <w:r w:rsidRPr="009E0E2D">
        <w:rPr>
          <w:rFonts w:ascii="宋体" w:hAnsi="宋体" w:hint="eastAsia"/>
          <w:color w:val="000000"/>
          <w:sz w:val="28"/>
          <w:szCs w:val="28"/>
        </w:rPr>
        <w:lastRenderedPageBreak/>
        <w:t>相关</w:t>
      </w:r>
      <w:r w:rsidRPr="00EE774A">
        <w:rPr>
          <w:rFonts w:ascii="宋体" w:hAnsi="宋体" w:hint="eastAsia"/>
          <w:color w:val="000000"/>
          <w:sz w:val="28"/>
          <w:szCs w:val="28"/>
        </w:rPr>
        <w:t>收益及计算方法，请具体查阅对应的收益率调整公告及产品说明书。</w:t>
      </w:r>
    </w:p>
    <w:p w:rsidR="00555806" w:rsidRPr="00EE774A" w:rsidRDefault="00555806" w:rsidP="00555806">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二、产品投资组合详细情况</w:t>
      </w:r>
    </w:p>
    <w:p w:rsidR="00555806" w:rsidRPr="00EE774A" w:rsidRDefault="00555806" w:rsidP="00555806">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（一）投资组合的基本情况</w:t>
      </w:r>
    </w:p>
    <w:p w:rsidR="00555806" w:rsidRPr="00EE774A" w:rsidRDefault="00A96539" w:rsidP="00555806">
      <w:pPr>
        <w:jc w:val="center"/>
        <w:rPr>
          <w:rFonts w:ascii="宋体" w:hAnsi="宋体"/>
          <w:color w:val="000000"/>
          <w:sz w:val="28"/>
          <w:szCs w:val="28"/>
        </w:rPr>
      </w:pPr>
      <w:r>
        <w:rPr>
          <w:noProof/>
        </w:rPr>
        <w:drawing>
          <wp:inline distT="0" distB="0" distL="0" distR="0" wp14:anchorId="7EF592FF" wp14:editId="0156BEFE">
            <wp:extent cx="3133725" cy="1762125"/>
            <wp:effectExtent l="3810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5806" w:rsidRPr="00EE774A" w:rsidRDefault="00555806" w:rsidP="00555806">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555806" w:rsidRPr="00EE774A" w:rsidRDefault="00A96539" w:rsidP="00555806">
      <w:pPr>
        <w:jc w:val="center"/>
        <w:rPr>
          <w:rFonts w:ascii="宋体" w:hAnsi="宋体"/>
          <w:color w:val="000000"/>
          <w:sz w:val="28"/>
          <w:szCs w:val="28"/>
        </w:rPr>
      </w:pPr>
      <w:r>
        <w:rPr>
          <w:noProof/>
        </w:rPr>
        <w:drawing>
          <wp:inline distT="0" distB="0" distL="0" distR="0" wp14:anchorId="15AF77C6" wp14:editId="200644C3">
            <wp:extent cx="3276600" cy="1876425"/>
            <wp:effectExtent l="38100" t="0" r="1905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89" w:rsidRPr="00EE774A" w:rsidRDefault="00585789" w:rsidP="00585789">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7F5088">
        <w:rPr>
          <w:rFonts w:ascii="宋体" w:hAnsi="宋体" w:hint="eastAsia"/>
          <w:b/>
          <w:color w:val="000000"/>
          <w:sz w:val="28"/>
          <w:szCs w:val="28"/>
        </w:rPr>
        <w:t>融资类资产的行业占比构成及当月增减变化情况</w:t>
      </w:r>
    </w:p>
    <w:p w:rsidR="00555806" w:rsidRPr="005622F6" w:rsidRDefault="00A96539" w:rsidP="00555806">
      <w:pPr>
        <w:ind w:right="-58"/>
        <w:jc w:val="center"/>
        <w:rPr>
          <w:rFonts w:ascii="宋体" w:hAnsi="宋体"/>
          <w:color w:val="000000"/>
          <w:sz w:val="28"/>
          <w:szCs w:val="28"/>
        </w:rPr>
      </w:pPr>
      <w:r>
        <w:rPr>
          <w:noProof/>
        </w:rPr>
        <w:drawing>
          <wp:inline distT="0" distB="0" distL="0" distR="0" wp14:anchorId="24131852" wp14:editId="7C6903A1">
            <wp:extent cx="5095875" cy="2095500"/>
            <wp:effectExtent l="0" t="0" r="952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5806" w:rsidRPr="00EE774A" w:rsidRDefault="00555806" w:rsidP="00555806">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555806" w:rsidRPr="00EE774A" w:rsidRDefault="00555806" w:rsidP="0055580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w:t>
      </w:r>
      <w:r w:rsidRPr="00EE774A">
        <w:rPr>
          <w:rFonts w:ascii="宋体" w:hAnsi="宋体" w:hint="eastAsia"/>
          <w:color w:val="000000"/>
          <w:sz w:val="28"/>
          <w:szCs w:val="28"/>
        </w:rPr>
        <w:lastRenderedPageBreak/>
        <w:t>责、谨慎管理，忠实履行有关法律、行政法规和相关文件的规定。</w:t>
      </w:r>
    </w:p>
    <w:p w:rsidR="00555806" w:rsidRPr="00EE774A" w:rsidRDefault="00555806" w:rsidP="0055580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（2）截至本报告日，所有投资资产正常运营，未发现有异常情况或者不利情况。</w:t>
      </w:r>
    </w:p>
    <w:p w:rsidR="00555806" w:rsidRPr="00EE774A" w:rsidRDefault="00555806" w:rsidP="0055580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555806" w:rsidRPr="00EE774A" w:rsidRDefault="00555806" w:rsidP="00555806">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812F4C" w:rsidRDefault="00812F4C" w:rsidP="00555806">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2018</w:t>
      </w:r>
      <w:r w:rsidR="00555806">
        <w:rPr>
          <w:rFonts w:ascii="宋体" w:hAnsi="宋体" w:hint="eastAsia"/>
          <w:color w:val="000000"/>
          <w:sz w:val="28"/>
          <w:szCs w:val="28"/>
        </w:rPr>
        <w:t>年</w:t>
      </w:r>
      <w:r w:rsidR="00A96539">
        <w:rPr>
          <w:rFonts w:ascii="宋体" w:hAnsi="宋体" w:hint="eastAsia"/>
          <w:color w:val="000000"/>
          <w:sz w:val="28"/>
          <w:szCs w:val="28"/>
        </w:rPr>
        <w:t>5</w:t>
      </w:r>
      <w:r w:rsidR="00555806">
        <w:rPr>
          <w:rFonts w:ascii="宋体" w:hAnsi="宋体" w:hint="eastAsia"/>
          <w:color w:val="000000"/>
          <w:sz w:val="28"/>
          <w:szCs w:val="28"/>
        </w:rPr>
        <w:t>月</w:t>
      </w:r>
      <w:r w:rsidR="00A96539">
        <w:rPr>
          <w:rFonts w:ascii="宋体" w:hAnsi="宋体" w:hint="eastAsia"/>
          <w:color w:val="000000"/>
          <w:sz w:val="28"/>
          <w:szCs w:val="28"/>
        </w:rPr>
        <w:t>4</w:t>
      </w:r>
      <w:r w:rsidR="00555806">
        <w:rPr>
          <w:rFonts w:ascii="宋体" w:hAnsi="宋体" w:hint="eastAsia"/>
          <w:color w:val="000000"/>
          <w:sz w:val="28"/>
          <w:szCs w:val="28"/>
        </w:rPr>
        <w:t>日</w:t>
      </w:r>
    </w:p>
    <w:p w:rsidR="00555806" w:rsidRPr="00371CB6" w:rsidRDefault="00555806" w:rsidP="00AE7097">
      <w:pPr>
        <w:widowControl/>
        <w:jc w:val="left"/>
        <w:rPr>
          <w:rFonts w:ascii="宋体" w:hAnsi="宋体"/>
          <w:color w:val="000000"/>
          <w:sz w:val="28"/>
          <w:szCs w:val="28"/>
        </w:rPr>
      </w:pPr>
      <w:bookmarkStart w:id="0" w:name="_GoBack"/>
      <w:bookmarkEnd w:id="0"/>
    </w:p>
    <w:sectPr w:rsidR="00555806" w:rsidRPr="00371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D7C" w:rsidRDefault="00896D7C" w:rsidP="00555806">
      <w:r>
        <w:separator/>
      </w:r>
    </w:p>
  </w:endnote>
  <w:endnote w:type="continuationSeparator" w:id="0">
    <w:p w:rsidR="00896D7C" w:rsidRDefault="00896D7C" w:rsidP="0055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D7C" w:rsidRDefault="00896D7C" w:rsidP="00555806">
      <w:r>
        <w:separator/>
      </w:r>
    </w:p>
  </w:footnote>
  <w:footnote w:type="continuationSeparator" w:id="0">
    <w:p w:rsidR="00896D7C" w:rsidRDefault="00896D7C" w:rsidP="00555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45"/>
    <w:rsid w:val="00035553"/>
    <w:rsid w:val="000838BE"/>
    <w:rsid w:val="000F1972"/>
    <w:rsid w:val="00116B32"/>
    <w:rsid w:val="00153C80"/>
    <w:rsid w:val="00176DC2"/>
    <w:rsid w:val="001F3745"/>
    <w:rsid w:val="002C5ACF"/>
    <w:rsid w:val="00331DB9"/>
    <w:rsid w:val="00350CA0"/>
    <w:rsid w:val="003D3431"/>
    <w:rsid w:val="004530A2"/>
    <w:rsid w:val="00466FD6"/>
    <w:rsid w:val="0048724C"/>
    <w:rsid w:val="0050099A"/>
    <w:rsid w:val="005451D6"/>
    <w:rsid w:val="00555806"/>
    <w:rsid w:val="00585789"/>
    <w:rsid w:val="006427FB"/>
    <w:rsid w:val="00766041"/>
    <w:rsid w:val="00772013"/>
    <w:rsid w:val="007C756B"/>
    <w:rsid w:val="007F19B6"/>
    <w:rsid w:val="007F1F77"/>
    <w:rsid w:val="007F4074"/>
    <w:rsid w:val="00812F4C"/>
    <w:rsid w:val="008940A7"/>
    <w:rsid w:val="00895061"/>
    <w:rsid w:val="00896D7C"/>
    <w:rsid w:val="00986389"/>
    <w:rsid w:val="0099059D"/>
    <w:rsid w:val="009A3F6A"/>
    <w:rsid w:val="009B4592"/>
    <w:rsid w:val="00A03A58"/>
    <w:rsid w:val="00A5443F"/>
    <w:rsid w:val="00A66F45"/>
    <w:rsid w:val="00A96539"/>
    <w:rsid w:val="00AE7097"/>
    <w:rsid w:val="00B0121E"/>
    <w:rsid w:val="00B2730B"/>
    <w:rsid w:val="00B74E10"/>
    <w:rsid w:val="00B84614"/>
    <w:rsid w:val="00BE07DB"/>
    <w:rsid w:val="00C911CE"/>
    <w:rsid w:val="00C92281"/>
    <w:rsid w:val="00D45DD6"/>
    <w:rsid w:val="00DA0B62"/>
    <w:rsid w:val="00DF18BA"/>
    <w:rsid w:val="00EF4DB4"/>
    <w:rsid w:val="00F45971"/>
    <w:rsid w:val="00F50F30"/>
    <w:rsid w:val="00FB7C02"/>
    <w:rsid w:val="00FF0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8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58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5806"/>
    <w:rPr>
      <w:sz w:val="18"/>
      <w:szCs w:val="18"/>
    </w:rPr>
  </w:style>
  <w:style w:type="paragraph" w:styleId="a4">
    <w:name w:val="footer"/>
    <w:basedOn w:val="a"/>
    <w:link w:val="Char0"/>
    <w:uiPriority w:val="99"/>
    <w:unhideWhenUsed/>
    <w:rsid w:val="005558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5806"/>
    <w:rPr>
      <w:sz w:val="18"/>
      <w:szCs w:val="18"/>
    </w:rPr>
  </w:style>
  <w:style w:type="paragraph" w:styleId="a5">
    <w:name w:val="Balloon Text"/>
    <w:basedOn w:val="a"/>
    <w:link w:val="Char1"/>
    <w:uiPriority w:val="99"/>
    <w:semiHidden/>
    <w:unhideWhenUsed/>
    <w:rsid w:val="00555806"/>
    <w:rPr>
      <w:sz w:val="18"/>
      <w:szCs w:val="18"/>
    </w:rPr>
  </w:style>
  <w:style w:type="character" w:customStyle="1" w:styleId="Char1">
    <w:name w:val="批注框文本 Char"/>
    <w:basedOn w:val="a0"/>
    <w:link w:val="a5"/>
    <w:uiPriority w:val="99"/>
    <w:semiHidden/>
    <w:rsid w:val="00555806"/>
    <w:rPr>
      <w:rFonts w:ascii="Calibri" w:eastAsia="宋体" w:hAnsi="Calibri" w:cs="Times New Roman"/>
      <w:sz w:val="18"/>
      <w:szCs w:val="18"/>
    </w:rPr>
  </w:style>
  <w:style w:type="paragraph" w:styleId="a6">
    <w:name w:val="Normal (Web)"/>
    <w:basedOn w:val="a"/>
    <w:uiPriority w:val="99"/>
    <w:unhideWhenUsed/>
    <w:rsid w:val="00035553"/>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0355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8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58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5806"/>
    <w:rPr>
      <w:sz w:val="18"/>
      <w:szCs w:val="18"/>
    </w:rPr>
  </w:style>
  <w:style w:type="paragraph" w:styleId="a4">
    <w:name w:val="footer"/>
    <w:basedOn w:val="a"/>
    <w:link w:val="Char0"/>
    <w:uiPriority w:val="99"/>
    <w:unhideWhenUsed/>
    <w:rsid w:val="005558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5806"/>
    <w:rPr>
      <w:sz w:val="18"/>
      <w:szCs w:val="18"/>
    </w:rPr>
  </w:style>
  <w:style w:type="paragraph" w:styleId="a5">
    <w:name w:val="Balloon Text"/>
    <w:basedOn w:val="a"/>
    <w:link w:val="Char1"/>
    <w:uiPriority w:val="99"/>
    <w:semiHidden/>
    <w:unhideWhenUsed/>
    <w:rsid w:val="00555806"/>
    <w:rPr>
      <w:sz w:val="18"/>
      <w:szCs w:val="18"/>
    </w:rPr>
  </w:style>
  <w:style w:type="character" w:customStyle="1" w:styleId="Char1">
    <w:name w:val="批注框文本 Char"/>
    <w:basedOn w:val="a0"/>
    <w:link w:val="a5"/>
    <w:uiPriority w:val="99"/>
    <w:semiHidden/>
    <w:rsid w:val="00555806"/>
    <w:rPr>
      <w:rFonts w:ascii="Calibri" w:eastAsia="宋体" w:hAnsi="Calibri" w:cs="Times New Roman"/>
      <w:sz w:val="18"/>
      <w:szCs w:val="18"/>
    </w:rPr>
  </w:style>
  <w:style w:type="paragraph" w:styleId="a6">
    <w:name w:val="Normal (Web)"/>
    <w:basedOn w:val="a"/>
    <w:uiPriority w:val="99"/>
    <w:unhideWhenUsed/>
    <w:rsid w:val="00035553"/>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035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5848">
      <w:bodyDiv w:val="1"/>
      <w:marLeft w:val="0"/>
      <w:marRight w:val="0"/>
      <w:marTop w:val="0"/>
      <w:marBottom w:val="0"/>
      <w:divBdr>
        <w:top w:val="none" w:sz="0" w:space="0" w:color="auto"/>
        <w:left w:val="none" w:sz="0" w:space="0" w:color="auto"/>
        <w:bottom w:val="none" w:sz="0" w:space="0" w:color="auto"/>
        <w:right w:val="none" w:sz="0" w:space="0" w:color="auto"/>
      </w:divBdr>
    </w:div>
    <w:div w:id="205416193">
      <w:bodyDiv w:val="1"/>
      <w:marLeft w:val="0"/>
      <w:marRight w:val="0"/>
      <w:marTop w:val="0"/>
      <w:marBottom w:val="0"/>
      <w:divBdr>
        <w:top w:val="none" w:sz="0" w:space="0" w:color="auto"/>
        <w:left w:val="none" w:sz="0" w:space="0" w:color="auto"/>
        <w:bottom w:val="none" w:sz="0" w:space="0" w:color="auto"/>
        <w:right w:val="none" w:sz="0" w:space="0" w:color="auto"/>
      </w:divBdr>
    </w:div>
    <w:div w:id="383452046">
      <w:bodyDiv w:val="1"/>
      <w:marLeft w:val="0"/>
      <w:marRight w:val="0"/>
      <w:marTop w:val="0"/>
      <w:marBottom w:val="0"/>
      <w:divBdr>
        <w:top w:val="none" w:sz="0" w:space="0" w:color="auto"/>
        <w:left w:val="none" w:sz="0" w:space="0" w:color="auto"/>
        <w:bottom w:val="none" w:sz="0" w:space="0" w:color="auto"/>
        <w:right w:val="none" w:sz="0" w:space="0" w:color="auto"/>
      </w:divBdr>
    </w:div>
    <w:div w:id="455875089">
      <w:bodyDiv w:val="1"/>
      <w:marLeft w:val="0"/>
      <w:marRight w:val="0"/>
      <w:marTop w:val="0"/>
      <w:marBottom w:val="0"/>
      <w:divBdr>
        <w:top w:val="none" w:sz="0" w:space="0" w:color="auto"/>
        <w:left w:val="none" w:sz="0" w:space="0" w:color="auto"/>
        <w:bottom w:val="none" w:sz="0" w:space="0" w:color="auto"/>
        <w:right w:val="none" w:sz="0" w:space="0" w:color="auto"/>
      </w:divBdr>
    </w:div>
    <w:div w:id="603417197">
      <w:bodyDiv w:val="1"/>
      <w:marLeft w:val="0"/>
      <w:marRight w:val="0"/>
      <w:marTop w:val="0"/>
      <w:marBottom w:val="0"/>
      <w:divBdr>
        <w:top w:val="none" w:sz="0" w:space="0" w:color="auto"/>
        <w:left w:val="none" w:sz="0" w:space="0" w:color="auto"/>
        <w:bottom w:val="none" w:sz="0" w:space="0" w:color="auto"/>
        <w:right w:val="none" w:sz="0" w:space="0" w:color="auto"/>
      </w:divBdr>
    </w:div>
    <w:div w:id="747968148">
      <w:bodyDiv w:val="1"/>
      <w:marLeft w:val="0"/>
      <w:marRight w:val="0"/>
      <w:marTop w:val="0"/>
      <w:marBottom w:val="0"/>
      <w:divBdr>
        <w:top w:val="none" w:sz="0" w:space="0" w:color="auto"/>
        <w:left w:val="none" w:sz="0" w:space="0" w:color="auto"/>
        <w:bottom w:val="none" w:sz="0" w:space="0" w:color="auto"/>
        <w:right w:val="none" w:sz="0" w:space="0" w:color="auto"/>
      </w:divBdr>
    </w:div>
    <w:div w:id="904729290">
      <w:bodyDiv w:val="1"/>
      <w:marLeft w:val="0"/>
      <w:marRight w:val="0"/>
      <w:marTop w:val="0"/>
      <w:marBottom w:val="0"/>
      <w:divBdr>
        <w:top w:val="none" w:sz="0" w:space="0" w:color="auto"/>
        <w:left w:val="none" w:sz="0" w:space="0" w:color="auto"/>
        <w:bottom w:val="none" w:sz="0" w:space="0" w:color="auto"/>
        <w:right w:val="none" w:sz="0" w:space="0" w:color="auto"/>
      </w:divBdr>
      <w:divsChild>
        <w:div w:id="770777515">
          <w:marLeft w:val="0"/>
          <w:marRight w:val="0"/>
          <w:marTop w:val="600"/>
          <w:marBottom w:val="900"/>
          <w:divBdr>
            <w:top w:val="none" w:sz="0" w:space="0" w:color="auto"/>
            <w:left w:val="none" w:sz="0" w:space="0" w:color="auto"/>
            <w:bottom w:val="none" w:sz="0" w:space="0" w:color="auto"/>
            <w:right w:val="none" w:sz="0" w:space="0" w:color="auto"/>
          </w:divBdr>
          <w:divsChild>
            <w:div w:id="1429352669">
              <w:marLeft w:val="0"/>
              <w:marRight w:val="0"/>
              <w:marTop w:val="0"/>
              <w:marBottom w:val="0"/>
              <w:divBdr>
                <w:top w:val="none" w:sz="0" w:space="0" w:color="auto"/>
                <w:left w:val="none" w:sz="0" w:space="0" w:color="auto"/>
                <w:bottom w:val="none" w:sz="0" w:space="0" w:color="auto"/>
                <w:right w:val="single" w:sz="6" w:space="30" w:color="EEEEEE"/>
              </w:divBdr>
              <w:divsChild>
                <w:div w:id="530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0764">
      <w:bodyDiv w:val="1"/>
      <w:marLeft w:val="0"/>
      <w:marRight w:val="0"/>
      <w:marTop w:val="0"/>
      <w:marBottom w:val="0"/>
      <w:divBdr>
        <w:top w:val="none" w:sz="0" w:space="0" w:color="auto"/>
        <w:left w:val="none" w:sz="0" w:space="0" w:color="auto"/>
        <w:bottom w:val="none" w:sz="0" w:space="0" w:color="auto"/>
        <w:right w:val="none" w:sz="0" w:space="0" w:color="auto"/>
      </w:divBdr>
    </w:div>
    <w:div w:id="1234271160">
      <w:bodyDiv w:val="1"/>
      <w:marLeft w:val="0"/>
      <w:marRight w:val="0"/>
      <w:marTop w:val="0"/>
      <w:marBottom w:val="0"/>
      <w:divBdr>
        <w:top w:val="none" w:sz="0" w:space="0" w:color="auto"/>
        <w:left w:val="none" w:sz="0" w:space="0" w:color="auto"/>
        <w:bottom w:val="none" w:sz="0" w:space="0" w:color="auto"/>
        <w:right w:val="none" w:sz="0" w:space="0" w:color="auto"/>
      </w:divBdr>
    </w:div>
    <w:div w:id="1334452079">
      <w:bodyDiv w:val="1"/>
      <w:marLeft w:val="0"/>
      <w:marRight w:val="0"/>
      <w:marTop w:val="0"/>
      <w:marBottom w:val="0"/>
      <w:divBdr>
        <w:top w:val="none" w:sz="0" w:space="0" w:color="auto"/>
        <w:left w:val="none" w:sz="0" w:space="0" w:color="auto"/>
        <w:bottom w:val="none" w:sz="0" w:space="0" w:color="auto"/>
        <w:right w:val="none" w:sz="0" w:space="0" w:color="auto"/>
      </w:divBdr>
    </w:div>
    <w:div w:id="1364935720">
      <w:bodyDiv w:val="1"/>
      <w:marLeft w:val="0"/>
      <w:marRight w:val="0"/>
      <w:marTop w:val="0"/>
      <w:marBottom w:val="0"/>
      <w:divBdr>
        <w:top w:val="none" w:sz="0" w:space="0" w:color="auto"/>
        <w:left w:val="none" w:sz="0" w:space="0" w:color="auto"/>
        <w:bottom w:val="none" w:sz="0" w:space="0" w:color="auto"/>
        <w:right w:val="none" w:sz="0" w:space="0" w:color="auto"/>
      </w:divBdr>
    </w:div>
    <w:div w:id="1569919187">
      <w:bodyDiv w:val="1"/>
      <w:marLeft w:val="0"/>
      <w:marRight w:val="0"/>
      <w:marTop w:val="0"/>
      <w:marBottom w:val="0"/>
      <w:divBdr>
        <w:top w:val="none" w:sz="0" w:space="0" w:color="auto"/>
        <w:left w:val="none" w:sz="0" w:space="0" w:color="auto"/>
        <w:bottom w:val="none" w:sz="0" w:space="0" w:color="auto"/>
        <w:right w:val="none" w:sz="0" w:space="0" w:color="auto"/>
      </w:divBdr>
    </w:div>
    <w:div w:id="1727988097">
      <w:bodyDiv w:val="1"/>
      <w:marLeft w:val="0"/>
      <w:marRight w:val="0"/>
      <w:marTop w:val="0"/>
      <w:marBottom w:val="0"/>
      <w:divBdr>
        <w:top w:val="none" w:sz="0" w:space="0" w:color="auto"/>
        <w:left w:val="none" w:sz="0" w:space="0" w:color="auto"/>
        <w:bottom w:val="none" w:sz="0" w:space="0" w:color="auto"/>
        <w:right w:val="none" w:sz="0" w:space="0" w:color="auto"/>
      </w:divBdr>
    </w:div>
    <w:div w:id="1786263862">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40213413">
      <w:bodyDiv w:val="1"/>
      <w:marLeft w:val="0"/>
      <w:marRight w:val="0"/>
      <w:marTop w:val="0"/>
      <w:marBottom w:val="0"/>
      <w:divBdr>
        <w:top w:val="none" w:sz="0" w:space="0" w:color="auto"/>
        <w:left w:val="none" w:sz="0" w:space="0" w:color="auto"/>
        <w:bottom w:val="none" w:sz="0" w:space="0" w:color="auto"/>
        <w:right w:val="none" w:sz="0" w:space="0" w:color="auto"/>
      </w:divBdr>
    </w:div>
    <w:div w:id="2009559034">
      <w:bodyDiv w:val="1"/>
      <w:marLeft w:val="0"/>
      <w:marRight w:val="0"/>
      <w:marTop w:val="0"/>
      <w:marBottom w:val="0"/>
      <w:divBdr>
        <w:top w:val="none" w:sz="0" w:space="0" w:color="auto"/>
        <w:left w:val="none" w:sz="0" w:space="0" w:color="auto"/>
        <w:bottom w:val="none" w:sz="0" w:space="0" w:color="auto"/>
        <w:right w:val="none" w:sz="0" w:space="0" w:color="auto"/>
      </w:divBdr>
    </w:div>
    <w:div w:id="21294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430&#25353;&#21608;&#25259;&#38706;\2018&#24180;4&#26376;30&#26085;&#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6615965687215928E-2"/>
          <c:y val="6.6436343034213238E-2"/>
          <c:w val="0.64213635490685617"/>
          <c:h val="0.81287731104096572"/>
        </c:manualLayout>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'[2018年4月30日资产汇总表.xls]2018年4月'!$A$321:$A$322</c:f>
              <c:strCache>
                <c:ptCount val="2"/>
                <c:pt idx="0">
                  <c:v>现金及债券类</c:v>
                </c:pt>
                <c:pt idx="1">
                  <c:v>融资类</c:v>
                </c:pt>
              </c:strCache>
            </c:strRef>
          </c:cat>
          <c:val>
            <c:numRef>
              <c:f>'[2018年4月30日资产汇总表.xls]2018年4月'!$B$321:$B$322</c:f>
              <c:numCache>
                <c:formatCode>0.00%</c:formatCode>
                <c:ptCount val="2"/>
                <c:pt idx="0">
                  <c:v>4.9324683699767342E-2</c:v>
                </c:pt>
                <c:pt idx="1">
                  <c:v>0.95067531629819868</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5572532721499789E-2"/>
          <c:y val="0.13881943143160425"/>
          <c:w val="0.72258941667641363"/>
          <c:h val="0.79868087586870384"/>
        </c:manualLayout>
      </c:layout>
      <c:pie3DChart>
        <c:varyColors val="1"/>
        <c:ser>
          <c:idx val="0"/>
          <c:order val="0"/>
          <c:dPt>
            <c:idx val="0"/>
            <c:bubble3D val="0"/>
          </c:dPt>
          <c:dPt>
            <c:idx val="1"/>
            <c:bubble3D val="0"/>
          </c:dPt>
          <c:dPt>
            <c:idx val="2"/>
            <c:bubble3D val="0"/>
          </c:dPt>
          <c:dPt>
            <c:idx val="3"/>
            <c:bubble3D val="0"/>
          </c:dPt>
          <c:dPt>
            <c:idx val="4"/>
            <c:bubble3D val="0"/>
          </c:dPt>
          <c:dLbls>
            <c:showLegendKey val="0"/>
            <c:showVal val="1"/>
            <c:showCatName val="0"/>
            <c:showSerName val="0"/>
            <c:showPercent val="0"/>
            <c:showBubbleSize val="0"/>
            <c:showLeaderLines val="1"/>
          </c:dLbls>
          <c:cat>
            <c:strRef>
              <c:f>'[2018年4月30日资产汇总表.xls]2018年4月'!$A$330:$A$334</c:f>
              <c:strCache>
                <c:ptCount val="5"/>
                <c:pt idx="0">
                  <c:v>AAA</c:v>
                </c:pt>
                <c:pt idx="1">
                  <c:v>AA+</c:v>
                </c:pt>
                <c:pt idx="2">
                  <c:v>AA</c:v>
                </c:pt>
                <c:pt idx="3">
                  <c:v>A+</c:v>
                </c:pt>
                <c:pt idx="4">
                  <c:v>A</c:v>
                </c:pt>
              </c:strCache>
            </c:strRef>
          </c:cat>
          <c:val>
            <c:numRef>
              <c:f>'[2018年4月30日资产汇总表.xls]2018年4月'!$B$330:$B$334</c:f>
              <c:numCache>
                <c:formatCode>0.00%</c:formatCode>
                <c:ptCount val="5"/>
                <c:pt idx="0">
                  <c:v>3.1344570901196613E-2</c:v>
                </c:pt>
                <c:pt idx="1">
                  <c:v>0.21008500864870153</c:v>
                </c:pt>
                <c:pt idx="2">
                  <c:v>0.34720636159905161</c:v>
                </c:pt>
                <c:pt idx="3">
                  <c:v>0.25159881275293594</c:v>
                </c:pt>
                <c:pt idx="4">
                  <c:v>0.15976524609811432</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9312671671854973"/>
          <c:y val="0.18634477796874377"/>
          <c:w val="0.18360281999633765"/>
          <c:h val="0.6273104440625125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'[2018年4月30日资产汇总表.xls]2018年4月'!$B$337</c:f>
              <c:strCache>
                <c:ptCount val="1"/>
                <c:pt idx="0">
                  <c:v>4月各行业</c:v>
                </c:pt>
              </c:strCache>
            </c:strRef>
          </c:tx>
          <c:invertIfNegative val="0"/>
          <c:cat>
            <c:strRef>
              <c:f>'[2018年4月30日资产汇总表.xls]2018年4月'!$A$338:$A$344</c:f>
              <c:strCache>
                <c:ptCount val="7"/>
                <c:pt idx="0">
                  <c:v>采矿业</c:v>
                </c:pt>
                <c:pt idx="1">
                  <c:v>建筑业</c:v>
                </c:pt>
                <c:pt idx="2">
                  <c:v>交通运输、仓储和邮政业</c:v>
                </c:pt>
                <c:pt idx="3">
                  <c:v>批发和零售业</c:v>
                </c:pt>
                <c:pt idx="4">
                  <c:v>租赁和商务服务业</c:v>
                </c:pt>
                <c:pt idx="5">
                  <c:v>电力、热力、燃气及水生产和供应业</c:v>
                </c:pt>
                <c:pt idx="6">
                  <c:v>公共管理、社会保障和社会组织</c:v>
                </c:pt>
              </c:strCache>
            </c:strRef>
          </c:cat>
          <c:val>
            <c:numRef>
              <c:f>'[2018年4月30日资产汇总表.xls]2018年4月'!$B$338:$B$344</c:f>
              <c:numCache>
                <c:formatCode>0.00%</c:formatCode>
                <c:ptCount val="7"/>
                <c:pt idx="0">
                  <c:v>0</c:v>
                </c:pt>
                <c:pt idx="1">
                  <c:v>0.22004368046589856</c:v>
                </c:pt>
                <c:pt idx="2">
                  <c:v>3.3965839721646351E-2</c:v>
                </c:pt>
                <c:pt idx="3">
                  <c:v>0.12579940637646797</c:v>
                </c:pt>
                <c:pt idx="4">
                  <c:v>0.43526594606257918</c:v>
                </c:pt>
                <c:pt idx="5">
                  <c:v>3.7739821912940397E-2</c:v>
                </c:pt>
                <c:pt idx="6">
                  <c:v>0.14718530546046754</c:v>
                </c:pt>
              </c:numCache>
            </c:numRef>
          </c:val>
        </c:ser>
        <c:ser>
          <c:idx val="1"/>
          <c:order val="1"/>
          <c:tx>
            <c:strRef>
              <c:f>'[2018年4月30日资产汇总表.xls]2018年4月'!$C$337</c:f>
              <c:strCache>
                <c:ptCount val="1"/>
                <c:pt idx="0">
                  <c:v>3月各行业</c:v>
                </c:pt>
              </c:strCache>
            </c:strRef>
          </c:tx>
          <c:invertIfNegative val="0"/>
          <c:cat>
            <c:strRef>
              <c:f>'[2018年4月30日资产汇总表.xls]2018年4月'!$A$338:$A$344</c:f>
              <c:strCache>
                <c:ptCount val="7"/>
                <c:pt idx="0">
                  <c:v>采矿业</c:v>
                </c:pt>
                <c:pt idx="1">
                  <c:v>建筑业</c:v>
                </c:pt>
                <c:pt idx="2">
                  <c:v>交通运输、仓储和邮政业</c:v>
                </c:pt>
                <c:pt idx="3">
                  <c:v>批发和零售业</c:v>
                </c:pt>
                <c:pt idx="4">
                  <c:v>租赁和商务服务业</c:v>
                </c:pt>
                <c:pt idx="5">
                  <c:v>电力、热力、燃气及水生产和供应业</c:v>
                </c:pt>
                <c:pt idx="6">
                  <c:v>公共管理、社会保障和社会组织</c:v>
                </c:pt>
              </c:strCache>
            </c:strRef>
          </c:cat>
          <c:val>
            <c:numRef>
              <c:f>'[2018年4月30日资产汇总表.xls]2018年4月'!$C$338:$C$344</c:f>
              <c:numCache>
                <c:formatCode>0.00%</c:formatCode>
                <c:ptCount val="7"/>
                <c:pt idx="0">
                  <c:v>0</c:v>
                </c:pt>
                <c:pt idx="1">
                  <c:v>0.20857056058857945</c:v>
                </c:pt>
                <c:pt idx="2">
                  <c:v>4.5081423763941676E-2</c:v>
                </c:pt>
                <c:pt idx="3">
                  <c:v>0.16696823616274697</c:v>
                </c:pt>
                <c:pt idx="4">
                  <c:v>0.33393647232549395</c:v>
                </c:pt>
                <c:pt idx="5">
                  <c:v>5.0090470848824085E-2</c:v>
                </c:pt>
                <c:pt idx="6">
                  <c:v>0.19535283631041395</c:v>
                </c:pt>
              </c:numCache>
            </c:numRef>
          </c:val>
        </c:ser>
        <c:ser>
          <c:idx val="2"/>
          <c:order val="2"/>
          <c:tx>
            <c:strRef>
              <c:f>'[2018年4月30日资产汇总表.xls]2018年4月'!$D$337</c:f>
              <c:strCache>
                <c:ptCount val="1"/>
                <c:pt idx="0">
                  <c:v>行业变化</c:v>
                </c:pt>
              </c:strCache>
            </c:strRef>
          </c:tx>
          <c:invertIfNegative val="0"/>
          <c:cat>
            <c:strRef>
              <c:f>'[2018年4月30日资产汇总表.xls]2018年4月'!$A$338:$A$344</c:f>
              <c:strCache>
                <c:ptCount val="7"/>
                <c:pt idx="0">
                  <c:v>采矿业</c:v>
                </c:pt>
                <c:pt idx="1">
                  <c:v>建筑业</c:v>
                </c:pt>
                <c:pt idx="2">
                  <c:v>交通运输、仓储和邮政业</c:v>
                </c:pt>
                <c:pt idx="3">
                  <c:v>批发和零售业</c:v>
                </c:pt>
                <c:pt idx="4">
                  <c:v>租赁和商务服务业</c:v>
                </c:pt>
                <c:pt idx="5">
                  <c:v>电力、热力、燃气及水生产和供应业</c:v>
                </c:pt>
                <c:pt idx="6">
                  <c:v>公共管理、社会保障和社会组织</c:v>
                </c:pt>
              </c:strCache>
            </c:strRef>
          </c:cat>
          <c:val>
            <c:numRef>
              <c:f>'[2018年4月30日资产汇总表.xls]2018年4月'!$D$338:$D$344</c:f>
              <c:numCache>
                <c:formatCode>0.00%</c:formatCode>
                <c:ptCount val="7"/>
                <c:pt idx="0">
                  <c:v>0</c:v>
                </c:pt>
                <c:pt idx="1">
                  <c:v>1.147311987731911E-2</c:v>
                </c:pt>
                <c:pt idx="2">
                  <c:v>-1.1115584042295325E-2</c:v>
                </c:pt>
                <c:pt idx="3">
                  <c:v>-4.1168829786279004E-2</c:v>
                </c:pt>
                <c:pt idx="4">
                  <c:v>0.10132947373708523</c:v>
                </c:pt>
                <c:pt idx="5">
                  <c:v>-1.2350648935883689E-2</c:v>
                </c:pt>
                <c:pt idx="6">
                  <c:v>-4.8167530849946405E-2</c:v>
                </c:pt>
              </c:numCache>
            </c:numRef>
          </c:val>
        </c:ser>
        <c:dLbls>
          <c:showLegendKey val="0"/>
          <c:showVal val="0"/>
          <c:showCatName val="0"/>
          <c:showSerName val="0"/>
          <c:showPercent val="0"/>
          <c:showBubbleSize val="0"/>
        </c:dLbls>
        <c:gapWidth val="150"/>
        <c:axId val="182748672"/>
        <c:axId val="182750208"/>
      </c:barChart>
      <c:catAx>
        <c:axId val="182748672"/>
        <c:scaling>
          <c:orientation val="minMax"/>
        </c:scaling>
        <c:delete val="0"/>
        <c:axPos val="l"/>
        <c:numFmt formatCode="General" sourceLinked="1"/>
        <c:majorTickMark val="out"/>
        <c:minorTickMark val="none"/>
        <c:tickLblPos val="nextTo"/>
        <c:crossAx val="182750208"/>
        <c:crosses val="autoZero"/>
        <c:auto val="1"/>
        <c:lblAlgn val="ctr"/>
        <c:lblOffset val="100"/>
        <c:noMultiLvlLbl val="0"/>
      </c:catAx>
      <c:valAx>
        <c:axId val="182750208"/>
        <c:scaling>
          <c:orientation val="minMax"/>
          <c:min val="-0.2"/>
        </c:scaling>
        <c:delete val="0"/>
        <c:axPos val="b"/>
        <c:majorGridlines/>
        <c:numFmt formatCode="0%" sourceLinked="0"/>
        <c:majorTickMark val="out"/>
        <c:minorTickMark val="none"/>
        <c:tickLblPos val="nextTo"/>
        <c:crossAx val="182748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陈策</cp:lastModifiedBy>
  <cp:revision>3</cp:revision>
  <dcterms:created xsi:type="dcterms:W3CDTF">2018-05-03T12:04:00Z</dcterms:created>
  <dcterms:modified xsi:type="dcterms:W3CDTF">2018-05-03T12:04:00Z</dcterms:modified>
</cp:coreProperties>
</file>